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9A5" w:rsidRDefault="00456B8A" w:rsidP="00456B8A">
      <w:pPr>
        <w:jc w:val="center"/>
        <w:rPr>
          <w:rFonts w:asciiTheme="minorHAnsi" w:hAnsiTheme="minorHAnsi" w:cstheme="minorHAnsi"/>
          <w:b/>
          <w:sz w:val="22"/>
          <w:szCs w:val="22"/>
        </w:rPr>
      </w:pPr>
      <w:r w:rsidRPr="00456B8A">
        <w:rPr>
          <w:rFonts w:asciiTheme="minorHAnsi" w:hAnsiTheme="minorHAnsi" w:cstheme="minorHAnsi"/>
          <w:b/>
          <w:sz w:val="22"/>
          <w:szCs w:val="22"/>
        </w:rPr>
        <w:t>Updated List of OSF-WB Partnership Projects</w:t>
      </w:r>
    </w:p>
    <w:p w:rsidR="00456B8A" w:rsidRPr="00456B8A" w:rsidRDefault="00456B8A" w:rsidP="00456B8A">
      <w:pPr>
        <w:jc w:val="center"/>
        <w:rPr>
          <w:rFonts w:asciiTheme="minorHAnsi" w:hAnsiTheme="minorHAnsi" w:cstheme="minorHAnsi"/>
          <w:sz w:val="22"/>
          <w:szCs w:val="22"/>
        </w:rPr>
      </w:pPr>
      <w:r w:rsidRPr="00456B8A">
        <w:rPr>
          <w:rFonts w:asciiTheme="minorHAnsi" w:hAnsiTheme="minorHAnsi" w:cstheme="minorHAnsi"/>
          <w:sz w:val="22"/>
          <w:szCs w:val="22"/>
        </w:rPr>
        <w:t>(</w:t>
      </w:r>
      <w:proofErr w:type="gramStart"/>
      <w:r w:rsidRPr="00456B8A">
        <w:rPr>
          <w:rFonts w:asciiTheme="minorHAnsi" w:hAnsiTheme="minorHAnsi" w:cstheme="minorHAnsi"/>
          <w:sz w:val="22"/>
          <w:szCs w:val="22"/>
        </w:rPr>
        <w:t>as</w:t>
      </w:r>
      <w:proofErr w:type="gramEnd"/>
      <w:r w:rsidRPr="00456B8A">
        <w:rPr>
          <w:rFonts w:asciiTheme="minorHAnsi" w:hAnsiTheme="minorHAnsi" w:cstheme="minorHAnsi"/>
          <w:sz w:val="22"/>
          <w:szCs w:val="22"/>
        </w:rPr>
        <w:t xml:space="preserve"> of June 5, 2013)</w:t>
      </w:r>
    </w:p>
    <w:p w:rsidR="00456B8A" w:rsidRPr="00456B8A" w:rsidRDefault="00456B8A">
      <w:pPr>
        <w:rPr>
          <w:rFonts w:asciiTheme="minorHAnsi" w:hAnsiTheme="minorHAnsi" w:cstheme="minorHAnsi"/>
          <w:sz w:val="22"/>
          <w:szCs w:val="22"/>
        </w:rPr>
      </w:pP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Active Partnerships / Consultations</w:t>
      </w:r>
      <w:r w:rsidRPr="00456B8A">
        <w:rPr>
          <w:rFonts w:asciiTheme="minorHAnsi" w:hAnsiTheme="minorHAnsi" w:cstheme="minorHAnsi"/>
          <w:sz w:val="22"/>
          <w:szCs w:val="22"/>
        </w:rPr>
        <w:t>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Global Partnership for Social Accountability</w:t>
      </w:r>
      <w:r w:rsidRPr="00456B8A">
        <w:rPr>
          <w:rFonts w:asciiTheme="minorHAnsi" w:hAnsiTheme="minorHAnsi" w:cstheme="minorHAnsi"/>
          <w:color w:val="1F497D"/>
          <w:sz w:val="22"/>
          <w:szCs w:val="22"/>
        </w:rPr>
        <w:t xml:space="preserve"> </w:t>
      </w:r>
    </w:p>
    <w:p w:rsid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OSF has joined the steering committee of GSPA as an observer and committed up to $3 million in parallel funding.  </w:t>
      </w:r>
      <w:r>
        <w:rPr>
          <w:rFonts w:asciiTheme="minorHAnsi" w:hAnsiTheme="minorHAnsi" w:cstheme="minorHAnsi"/>
          <w:sz w:val="22"/>
          <w:szCs w:val="22"/>
        </w:rPr>
        <w:t>Jonas participated in the May meeting of the Steering Committee, at which 13 projects from 11 countries were awarded a total of $9.6 million.  We are now reviewing both the form of our support (parallel funding versus a contribution to the trust) and proposals that were not selected for funding.</w:t>
      </w:r>
    </w:p>
    <w:p w:rsidR="00456B8A" w:rsidRDefault="00456B8A"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GPSA continues to add countries to its list.  There are now 17 total.  In the last few weeks, </w:t>
      </w:r>
      <w:r w:rsidR="00E967BD">
        <w:rPr>
          <w:rFonts w:asciiTheme="minorHAnsi" w:hAnsiTheme="minorHAnsi" w:cstheme="minorHAnsi"/>
          <w:sz w:val="22"/>
          <w:szCs w:val="22"/>
        </w:rPr>
        <w:t xml:space="preserve">Columbia, </w:t>
      </w:r>
      <w:r>
        <w:rPr>
          <w:rFonts w:asciiTheme="minorHAnsi" w:hAnsiTheme="minorHAnsi" w:cstheme="minorHAnsi"/>
          <w:sz w:val="22"/>
          <w:szCs w:val="22"/>
        </w:rPr>
        <w:t xml:space="preserve">Paraguay, Togo, </w:t>
      </w:r>
      <w:r w:rsidR="00E967BD">
        <w:rPr>
          <w:rFonts w:asciiTheme="minorHAnsi" w:hAnsiTheme="minorHAnsi" w:cstheme="minorHAnsi"/>
          <w:sz w:val="22"/>
          <w:szCs w:val="22"/>
        </w:rPr>
        <w:t xml:space="preserve">Senegal and </w:t>
      </w:r>
      <w:r>
        <w:rPr>
          <w:rFonts w:asciiTheme="minorHAnsi" w:hAnsiTheme="minorHAnsi" w:cstheme="minorHAnsi"/>
          <w:sz w:val="22"/>
          <w:szCs w:val="22"/>
        </w:rPr>
        <w:t>Belarus have joined the original group (Indonesia, Philippines, Bangladesh, Moldova, Kyrgyzstan, Tajikistan, Mongolia, the Dominican Republic, Honduras, Malawi, Mozambique and Tunisia).</w:t>
      </w:r>
    </w:p>
    <w:p w:rsidR="00456B8A" w:rsidRDefault="00456B8A"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OSF and the Ford Foundation will discuss GPSA, as well as other topics, at a joint meeting in early August.</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IFI Watchers Meeting</w:t>
      </w:r>
      <w:r w:rsidRPr="00456B8A">
        <w:rPr>
          <w:rFonts w:asciiTheme="minorHAnsi" w:hAnsiTheme="minorHAnsi" w:cstheme="minorHAnsi"/>
          <w:sz w:val="22"/>
          <w:szCs w:val="22"/>
        </w:rPr>
        <w:t>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On April 16 OSF-DC hosted a meeting of 30 civil society organizations engaged on issues that fall within the Bank’s purview.  The event was organized with the Bank Information Center (an OSF grantee) to map areas of common interest and activity.  Participants examined three themes: Accountability &amp; Governance; Climate &amp; Environment; and Rights &amp; Social Impact.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There is potential to create a platform that would help disparate groups coalesce around common agendas in relation to WB programs. </w:t>
      </w:r>
      <w:r w:rsidR="00961698">
        <w:rPr>
          <w:rFonts w:asciiTheme="minorHAnsi" w:hAnsiTheme="minorHAnsi" w:cstheme="minorHAnsi"/>
          <w:sz w:val="22"/>
          <w:szCs w:val="22"/>
        </w:rPr>
        <w:t xml:space="preserve">We could either </w:t>
      </w:r>
      <w:r w:rsidRPr="00456B8A">
        <w:rPr>
          <w:rFonts w:asciiTheme="minorHAnsi" w:hAnsiTheme="minorHAnsi" w:cstheme="minorHAnsi"/>
          <w:sz w:val="22"/>
          <w:szCs w:val="22"/>
        </w:rPr>
        <w:t xml:space="preserve">serve as a convener, helping to facilitate better relationships between the Bank and the CSO’s it is trying to work with.  </w:t>
      </w:r>
      <w:r w:rsidR="00961698">
        <w:rPr>
          <w:rFonts w:asciiTheme="minorHAnsi" w:hAnsiTheme="minorHAnsi" w:cstheme="minorHAnsi"/>
          <w:sz w:val="22"/>
          <w:szCs w:val="22"/>
        </w:rPr>
        <w:t xml:space="preserve">Or we could </w:t>
      </w:r>
      <w:r w:rsidRPr="00456B8A">
        <w:rPr>
          <w:rFonts w:asciiTheme="minorHAnsi" w:hAnsiTheme="minorHAnsi" w:cstheme="minorHAnsi"/>
          <w:sz w:val="22"/>
          <w:szCs w:val="22"/>
        </w:rPr>
        <w:t xml:space="preserve">participate in select campaigns aimed at </w:t>
      </w:r>
      <w:r w:rsidR="00961698">
        <w:rPr>
          <w:rFonts w:asciiTheme="minorHAnsi" w:hAnsiTheme="minorHAnsi" w:cstheme="minorHAnsi"/>
          <w:sz w:val="22"/>
          <w:szCs w:val="22"/>
        </w:rPr>
        <w:t>informing</w:t>
      </w:r>
      <w:r w:rsidRPr="00456B8A">
        <w:rPr>
          <w:rFonts w:asciiTheme="minorHAnsi" w:hAnsiTheme="minorHAnsi" w:cstheme="minorHAnsi"/>
          <w:sz w:val="22"/>
          <w:szCs w:val="22"/>
        </w:rPr>
        <w:t xml:space="preserve"> the Bank’s position on a specific issue or country.  </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Disabilities</w:t>
      </w:r>
      <w:r w:rsidR="00E967BD">
        <w:rPr>
          <w:rFonts w:asciiTheme="minorHAnsi" w:hAnsiTheme="minorHAnsi" w:cstheme="minorHAnsi"/>
          <w:color w:val="FF0000"/>
          <w:sz w:val="22"/>
          <w:szCs w:val="22"/>
        </w:rPr>
        <w:t xml:space="preserve"> </w:t>
      </w:r>
    </w:p>
    <w:p w:rsidR="00E967BD" w:rsidRDefault="00E967BD"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OSF colleagues from HRI and MHI have begun consultations with the Bank’s </w:t>
      </w:r>
      <w:r w:rsidR="00C3753A">
        <w:rPr>
          <w:rFonts w:asciiTheme="minorHAnsi" w:hAnsiTheme="minorHAnsi" w:cstheme="minorHAnsi"/>
          <w:sz w:val="22"/>
          <w:szCs w:val="22"/>
        </w:rPr>
        <w:t>Disabilities and Development O</w:t>
      </w:r>
      <w:r>
        <w:rPr>
          <w:rFonts w:asciiTheme="minorHAnsi" w:hAnsiTheme="minorHAnsi" w:cstheme="minorHAnsi"/>
          <w:sz w:val="22"/>
          <w:szCs w:val="22"/>
        </w:rPr>
        <w:t xml:space="preserve">ffice.  Several initiatives are contemplated: country collaboration in Croatia and/or Moldova; inclusive education; and mental health advocacy.  OSF will organize a presentation of its work at the Bank in the near future.  </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Burma</w:t>
      </w:r>
      <w:r w:rsidRPr="00456B8A">
        <w:rPr>
          <w:rFonts w:asciiTheme="minorHAnsi" w:hAnsiTheme="minorHAnsi" w:cstheme="minorHAnsi"/>
          <w:color w:val="1F497D"/>
          <w:sz w:val="22"/>
          <w:szCs w:val="22"/>
        </w:rPr>
        <w:t xml:space="preserve"> </w:t>
      </w:r>
    </w:p>
    <w:p w:rsidR="009447D4"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O</w:t>
      </w:r>
      <w:r w:rsidR="009447D4">
        <w:rPr>
          <w:rFonts w:asciiTheme="minorHAnsi" w:hAnsiTheme="minorHAnsi" w:cstheme="minorHAnsi"/>
          <w:sz w:val="22"/>
          <w:szCs w:val="22"/>
        </w:rPr>
        <w:t>SF and BIC (grantee working on Burma) have met with Bank officials in Yangon and Washington several times.  These discussions have caused the Bank to engage with independent local monitors and led to broader consultations with civil society.  There is still some tension between the Bank’s rapid engagement in economic reform and energy investments, and local stakeholders’ desire to include local stakeholders in deliberations about the country’s development trajectory.</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Roma</w:t>
      </w:r>
      <w:r w:rsidRPr="00456B8A">
        <w:rPr>
          <w:rFonts w:asciiTheme="minorHAnsi" w:hAnsiTheme="minorHAnsi" w:cstheme="minorHAnsi"/>
          <w:color w:val="1F497D"/>
          <w:sz w:val="22"/>
          <w:szCs w:val="22"/>
        </w:rPr>
        <w:t xml:space="preserve"> </w:t>
      </w:r>
    </w:p>
    <w:p w:rsidR="009447D4"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GS and Jim Kim </w:t>
      </w:r>
      <w:r w:rsidR="009447D4">
        <w:rPr>
          <w:rFonts w:asciiTheme="minorHAnsi" w:hAnsiTheme="minorHAnsi" w:cstheme="minorHAnsi"/>
          <w:sz w:val="22"/>
          <w:szCs w:val="22"/>
        </w:rPr>
        <w:t>toured a Roma ghetto in Bucharest in May.  During that visit, OSF produced a list of asks, including: 1) increased contribution to REF; 2) help with REF efforts to leverage EU funding;</w:t>
      </w:r>
      <w:r w:rsidR="004053C4">
        <w:rPr>
          <w:rFonts w:asciiTheme="minorHAnsi" w:hAnsiTheme="minorHAnsi" w:cstheme="minorHAnsi"/>
          <w:sz w:val="22"/>
          <w:szCs w:val="22"/>
        </w:rPr>
        <w:t xml:space="preserve"> 3)</w:t>
      </w:r>
      <w:r w:rsidR="009447D4">
        <w:rPr>
          <w:rFonts w:asciiTheme="minorHAnsi" w:hAnsiTheme="minorHAnsi" w:cstheme="minorHAnsi"/>
          <w:sz w:val="22"/>
          <w:szCs w:val="22"/>
        </w:rPr>
        <w:t xml:space="preserve"> upgraded partnership in the Decade (including support for core or project costs of the Secretariat</w:t>
      </w:r>
      <w:r w:rsidR="004053C4">
        <w:rPr>
          <w:rFonts w:asciiTheme="minorHAnsi" w:hAnsiTheme="minorHAnsi" w:cstheme="minorHAnsi"/>
          <w:sz w:val="22"/>
          <w:szCs w:val="22"/>
        </w:rPr>
        <w:t xml:space="preserve"> and contributions to a trust fund); 4) enhanced partnership with MTM to scale up interventions; and 5) the appointment of a high level official within the Bank to deal with Roma issues.</w:t>
      </w:r>
    </w:p>
    <w:p w:rsidR="004053C4" w:rsidRDefault="004053C4"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We are currently following up with Bank staff on all of these points.</w:t>
      </w:r>
    </w:p>
    <w:p w:rsidR="00C45C8F" w:rsidRPr="00456B8A" w:rsidRDefault="00C45C8F" w:rsidP="00C45C8F">
      <w:pPr>
        <w:spacing w:before="100" w:beforeAutospacing="1"/>
        <w:rPr>
          <w:rFonts w:asciiTheme="minorHAnsi" w:hAnsiTheme="minorHAnsi" w:cstheme="minorHAnsi"/>
          <w:color w:val="FF0000"/>
          <w:sz w:val="22"/>
          <w:szCs w:val="22"/>
        </w:rPr>
      </w:pPr>
      <w:r>
        <w:rPr>
          <w:rFonts w:asciiTheme="minorHAnsi" w:hAnsiTheme="minorHAnsi" w:cstheme="minorHAnsi"/>
          <w:sz w:val="22"/>
          <w:szCs w:val="22"/>
          <w:u w:val="single"/>
        </w:rPr>
        <w:t>Criminal Justice</w:t>
      </w:r>
    </w:p>
    <w:p w:rsidR="00C45C8F" w:rsidRDefault="00C45C8F"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The Bank has recently decided to begin some work in criminal justice.  OSF colleagues have been talking about joint efforts on pre-trial detention.  JI would like Chris to reinforce the need for WB involvement in pre-trial justice and criminal justice reforms and to propose technical briefings by OSF staff to the Bank’s new Criminal Justice Resource Group.</w:t>
      </w:r>
    </w:p>
    <w:p w:rsidR="00C45C8F" w:rsidRPr="00456B8A" w:rsidRDefault="00C45C8F" w:rsidP="00C45C8F">
      <w:pPr>
        <w:spacing w:before="100" w:beforeAutospacing="1"/>
        <w:rPr>
          <w:rFonts w:asciiTheme="minorHAnsi" w:hAnsiTheme="minorHAnsi" w:cstheme="minorHAnsi"/>
          <w:sz w:val="22"/>
          <w:szCs w:val="22"/>
        </w:rPr>
      </w:pPr>
      <w:r>
        <w:rPr>
          <w:rFonts w:asciiTheme="minorHAnsi" w:hAnsiTheme="minorHAnsi" w:cstheme="minorHAnsi"/>
          <w:sz w:val="22"/>
          <w:szCs w:val="22"/>
          <w:u w:val="single"/>
        </w:rPr>
        <w:t>Meetings with Jim Kim</w:t>
      </w:r>
    </w:p>
    <w:p w:rsidR="00C45C8F" w:rsidRPr="00456B8A" w:rsidRDefault="00C45C8F"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We are currently scheduling a meeting for Chris Stone and Jim Kim (perhaps on July 17</w:t>
      </w:r>
      <w:r w:rsidRPr="004053C4">
        <w:rPr>
          <w:rFonts w:asciiTheme="minorHAnsi" w:hAnsiTheme="minorHAnsi" w:cstheme="minorHAnsi"/>
          <w:sz w:val="22"/>
          <w:szCs w:val="22"/>
          <w:vertAlign w:val="superscript"/>
        </w:rPr>
        <w:t>th</w:t>
      </w:r>
      <w:r>
        <w:rPr>
          <w:rFonts w:asciiTheme="minorHAnsi" w:hAnsiTheme="minorHAnsi" w:cstheme="minorHAnsi"/>
          <w:sz w:val="22"/>
          <w:szCs w:val="22"/>
        </w:rPr>
        <w:t xml:space="preserve">).  In addition, </w:t>
      </w:r>
      <w:r w:rsidRPr="00456B8A">
        <w:rPr>
          <w:rFonts w:asciiTheme="minorHAnsi" w:hAnsiTheme="minorHAnsi" w:cstheme="minorHAnsi"/>
          <w:sz w:val="22"/>
          <w:szCs w:val="22"/>
        </w:rPr>
        <w:t xml:space="preserve">Kim will participate in an All Staff meeting of OSF </w:t>
      </w:r>
      <w:r>
        <w:rPr>
          <w:rFonts w:asciiTheme="minorHAnsi" w:hAnsiTheme="minorHAnsi" w:cstheme="minorHAnsi"/>
          <w:sz w:val="22"/>
          <w:szCs w:val="22"/>
        </w:rPr>
        <w:t>on July 31</w:t>
      </w:r>
      <w:r w:rsidRPr="004053C4">
        <w:rPr>
          <w:rFonts w:asciiTheme="minorHAnsi" w:hAnsiTheme="minorHAnsi" w:cstheme="minorHAnsi"/>
          <w:sz w:val="22"/>
          <w:szCs w:val="22"/>
          <w:vertAlign w:val="superscript"/>
        </w:rPr>
        <w:t>st</w:t>
      </w:r>
      <w:r>
        <w:rPr>
          <w:rFonts w:asciiTheme="minorHAnsi" w:hAnsiTheme="minorHAnsi" w:cstheme="minorHAnsi"/>
          <w:sz w:val="22"/>
          <w:szCs w:val="22"/>
        </w:rPr>
        <w:t xml:space="preserve"> </w:t>
      </w:r>
      <w:r w:rsidRPr="00456B8A">
        <w:rPr>
          <w:rFonts w:asciiTheme="minorHAnsi" w:hAnsiTheme="minorHAnsi" w:cstheme="minorHAnsi"/>
          <w:sz w:val="22"/>
          <w:szCs w:val="22"/>
        </w:rPr>
        <w:t>to discuss his vision of the Bank. </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Mapping</w:t>
      </w:r>
      <w:r w:rsidRPr="00456B8A">
        <w:rPr>
          <w:rFonts w:asciiTheme="minorHAnsi" w:hAnsiTheme="minorHAnsi" w:cstheme="minorHAnsi"/>
          <w:color w:val="1F497D"/>
          <w:sz w:val="22"/>
          <w:szCs w:val="22"/>
        </w:rPr>
        <w:t xml:space="preserve"> </w:t>
      </w:r>
    </w:p>
    <w:p w:rsidR="004053C4" w:rsidRDefault="004053C4"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Efforts to map OSF engagement with the Bank are ongoing.  We have updated the original survey and experimenting with data visualization software to communicate the results to the network.</w:t>
      </w:r>
    </w:p>
    <w:p w:rsidR="00456B8A" w:rsidRPr="00456B8A" w:rsidRDefault="00456B8A" w:rsidP="00456B8A">
      <w:pPr>
        <w:spacing w:after="240"/>
        <w:rPr>
          <w:rFonts w:asciiTheme="minorHAnsi" w:hAnsiTheme="minorHAnsi" w:cstheme="minorHAnsi"/>
          <w:sz w:val="22"/>
          <w:szCs w:val="22"/>
        </w:rPr>
      </w:pPr>
    </w:p>
    <w:p w:rsidR="00C45C8F" w:rsidRDefault="00C45C8F">
      <w:pPr>
        <w:spacing w:after="200" w:line="276" w:lineRule="auto"/>
        <w:rPr>
          <w:rFonts w:asciiTheme="minorHAnsi" w:hAnsiTheme="minorHAnsi" w:cstheme="minorHAnsi"/>
          <w:smallCaps/>
          <w:sz w:val="22"/>
          <w:szCs w:val="22"/>
        </w:rPr>
      </w:pPr>
      <w:r>
        <w:rPr>
          <w:rFonts w:asciiTheme="minorHAnsi" w:hAnsiTheme="minorHAnsi" w:cstheme="minorHAnsi"/>
          <w:smallCaps/>
          <w:sz w:val="22"/>
          <w:szCs w:val="22"/>
        </w:rPr>
        <w:br w:type="page"/>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mallCaps/>
          <w:sz w:val="22"/>
          <w:szCs w:val="22"/>
        </w:rPr>
        <w:t>Potential Partnerships</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Public Health</w:t>
      </w:r>
    </w:p>
    <w:p w:rsidR="00456B8A" w:rsidRPr="00456B8A" w:rsidRDefault="00C45C8F" w:rsidP="00C45C8F">
      <w:pPr>
        <w:spacing w:before="100" w:beforeAutospacing="1"/>
        <w:rPr>
          <w:rFonts w:asciiTheme="minorHAnsi" w:hAnsiTheme="minorHAnsi" w:cstheme="minorHAnsi"/>
          <w:sz w:val="22"/>
          <w:szCs w:val="22"/>
        </w:rPr>
      </w:pPr>
      <w:r>
        <w:rPr>
          <w:rFonts w:asciiTheme="minorHAnsi" w:hAnsiTheme="minorHAnsi" w:cstheme="minorHAnsi"/>
          <w:sz w:val="22"/>
          <w:szCs w:val="22"/>
        </w:rPr>
        <w:t xml:space="preserve">Krista Lauer, Director of OSF’s Global Health Financing Initiative is coordinating PHP’s agenda for discussion with the Bank.  She has identified a number of areas for potential collaboration, including: </w:t>
      </w:r>
      <w:r w:rsidR="00456B8A" w:rsidRPr="00456B8A">
        <w:rPr>
          <w:rFonts w:asciiTheme="minorHAnsi" w:hAnsiTheme="minorHAnsi" w:cstheme="minorHAnsi"/>
          <w:sz w:val="22"/>
          <w:szCs w:val="22"/>
        </w:rPr>
        <w:t>global health financing; health and rights; evidence based interventions; global health outcomes.  She would like to engage Bank counterparts in discussions on vulnerable communities, particularly sex workers, drug users, men who have sex with men, and transgender groups.</w:t>
      </w:r>
    </w:p>
    <w:p w:rsidR="00456B8A" w:rsidRPr="00456B8A" w:rsidRDefault="00456B8A" w:rsidP="00456B8A">
      <w:pPr>
        <w:spacing w:before="100" w:beforeAutospacing="1"/>
        <w:rPr>
          <w:rFonts w:asciiTheme="minorHAnsi" w:hAnsiTheme="minorHAnsi" w:cstheme="minorHAnsi"/>
          <w:color w:val="FF0000"/>
          <w:sz w:val="22"/>
          <w:szCs w:val="22"/>
        </w:rPr>
      </w:pPr>
      <w:r w:rsidRPr="00456B8A">
        <w:rPr>
          <w:rFonts w:asciiTheme="minorHAnsi" w:hAnsiTheme="minorHAnsi" w:cstheme="minorHAnsi"/>
          <w:sz w:val="22"/>
          <w:szCs w:val="22"/>
          <w:u w:val="single"/>
        </w:rPr>
        <w:t>Education</w:t>
      </w:r>
      <w:r w:rsidRPr="00456B8A">
        <w:rPr>
          <w:rFonts w:asciiTheme="minorHAnsi" w:hAnsiTheme="minorHAnsi" w:cstheme="minorHAnsi"/>
          <w:color w:val="1F497D"/>
          <w:sz w:val="22"/>
          <w:szCs w:val="22"/>
        </w:rPr>
        <w:t xml:space="preserve"> </w:t>
      </w:r>
    </w:p>
    <w:p w:rsidR="00C3753A" w:rsidRDefault="00C3753A" w:rsidP="00456B8A">
      <w:pPr>
        <w:spacing w:before="100" w:beforeAutospacing="1"/>
        <w:rPr>
          <w:rFonts w:asciiTheme="minorHAnsi" w:hAnsiTheme="minorHAnsi" w:cstheme="minorHAnsi"/>
          <w:sz w:val="22"/>
          <w:szCs w:val="22"/>
        </w:rPr>
      </w:pPr>
      <w:r>
        <w:rPr>
          <w:rFonts w:asciiTheme="minorHAnsi" w:hAnsiTheme="minorHAnsi" w:cstheme="minorHAnsi"/>
          <w:sz w:val="22"/>
          <w:szCs w:val="22"/>
        </w:rPr>
        <w:t>OSF’s education programs held a call last month to identify countries where we may discuss cooperation with the Bank.  Among them are Bulgaria, Moldova, Georgia, Armenia, Congo and Liberia.  We are in the process of connecting our colleagues with Bank counterparts in Washington and the field.</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Transparency – corruption</w:t>
      </w:r>
    </w:p>
    <w:p w:rsidR="00C3753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These are areas of primary importance to both OSF and the Bank.  Some collabo</w:t>
      </w:r>
      <w:r w:rsidR="00C3753A">
        <w:rPr>
          <w:rFonts w:asciiTheme="minorHAnsi" w:hAnsiTheme="minorHAnsi" w:cstheme="minorHAnsi"/>
          <w:sz w:val="22"/>
          <w:szCs w:val="22"/>
        </w:rPr>
        <w:t>ration has taken place already in countries where OSF has a local presence.  However, we need to launch broader discussions between both institutions.  Ken Hurwitz will take the lead on this.</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Food security</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The new shared framework on food security offers possibilities to engage with the Bank.  Akwe had wanted to develop the framework before bringing in WB partners (too many cooks).  Now that the initiative has advanced, we </w:t>
      </w:r>
      <w:r w:rsidR="00C3753A">
        <w:rPr>
          <w:rFonts w:asciiTheme="minorHAnsi" w:hAnsiTheme="minorHAnsi" w:cstheme="minorHAnsi"/>
          <w:sz w:val="22"/>
          <w:szCs w:val="22"/>
        </w:rPr>
        <w:t>are identifying Bank staff with whom we can talk.</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Urban planning / land use</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HRI</w:t>
      </w:r>
      <w:r w:rsidR="00C3753A">
        <w:rPr>
          <w:rFonts w:asciiTheme="minorHAnsi" w:hAnsiTheme="minorHAnsi" w:cstheme="minorHAnsi"/>
          <w:sz w:val="22"/>
          <w:szCs w:val="22"/>
        </w:rPr>
        <w:t xml:space="preserve">’s proposed </w:t>
      </w:r>
      <w:r w:rsidRPr="00456B8A">
        <w:rPr>
          <w:rFonts w:asciiTheme="minorHAnsi" w:hAnsiTheme="minorHAnsi" w:cstheme="minorHAnsi"/>
          <w:sz w:val="22"/>
          <w:szCs w:val="22"/>
        </w:rPr>
        <w:t>work on rights and policy related to land grabs</w:t>
      </w:r>
      <w:r w:rsidR="00C3753A">
        <w:rPr>
          <w:rFonts w:asciiTheme="minorHAnsi" w:hAnsiTheme="minorHAnsi" w:cstheme="minorHAnsi"/>
          <w:sz w:val="22"/>
          <w:szCs w:val="22"/>
        </w:rPr>
        <w:t xml:space="preserve"> may intersect with the Bank’s interest in urban development</w:t>
      </w:r>
      <w:r w:rsidRPr="00456B8A">
        <w:rPr>
          <w:rFonts w:asciiTheme="minorHAnsi" w:hAnsiTheme="minorHAnsi" w:cstheme="minorHAnsi"/>
          <w:sz w:val="22"/>
          <w:szCs w:val="22"/>
        </w:rPr>
        <w:t xml:space="preserve">.  We are </w:t>
      </w:r>
      <w:r w:rsidR="00C3753A">
        <w:rPr>
          <w:rFonts w:asciiTheme="minorHAnsi" w:hAnsiTheme="minorHAnsi" w:cstheme="minorHAnsi"/>
          <w:sz w:val="22"/>
          <w:szCs w:val="22"/>
        </w:rPr>
        <w:t xml:space="preserve">about to introduce OSF colleagues to Bank staff </w:t>
      </w:r>
      <w:r w:rsidRPr="00456B8A">
        <w:rPr>
          <w:rFonts w:asciiTheme="minorHAnsi" w:hAnsiTheme="minorHAnsi" w:cstheme="minorHAnsi"/>
          <w:sz w:val="22"/>
          <w:szCs w:val="22"/>
        </w:rPr>
        <w:t>who work on urban planning and land tenure issues.</w:t>
      </w:r>
    </w:p>
    <w:p w:rsidR="00C45C8F" w:rsidRPr="00456B8A" w:rsidRDefault="00C45C8F" w:rsidP="00C45C8F">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Indonesia</w:t>
      </w:r>
    </w:p>
    <w:p w:rsidR="00C45C8F" w:rsidRPr="00456B8A" w:rsidRDefault="00C45C8F" w:rsidP="00C45C8F">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 xml:space="preserve">Indonesia is </w:t>
      </w:r>
      <w:r>
        <w:rPr>
          <w:rFonts w:asciiTheme="minorHAnsi" w:hAnsiTheme="minorHAnsi" w:cstheme="minorHAnsi"/>
          <w:sz w:val="22"/>
          <w:szCs w:val="22"/>
        </w:rPr>
        <w:t xml:space="preserve">a member of the GPSA, with a focus on </w:t>
      </w:r>
      <w:r w:rsidRPr="00456B8A">
        <w:rPr>
          <w:rFonts w:asciiTheme="minorHAnsi" w:hAnsiTheme="minorHAnsi" w:cstheme="minorHAnsi"/>
          <w:sz w:val="22"/>
          <w:szCs w:val="22"/>
        </w:rPr>
        <w:t>extractive industries</w:t>
      </w:r>
      <w:r>
        <w:rPr>
          <w:rFonts w:asciiTheme="minorHAnsi" w:hAnsiTheme="minorHAnsi" w:cstheme="minorHAnsi"/>
          <w:sz w:val="22"/>
          <w:szCs w:val="22"/>
        </w:rPr>
        <w:t xml:space="preserve">.  TIFA has experience in this sector and is interested in exploring collaboration.  </w:t>
      </w:r>
    </w:p>
    <w:p w:rsidR="00456B8A" w:rsidRPr="00456B8A" w:rsidRDefault="00456B8A" w:rsidP="00456B8A">
      <w:pPr>
        <w:spacing w:before="100" w:beforeAutospacing="1"/>
        <w:rPr>
          <w:rFonts w:asciiTheme="minorHAnsi" w:hAnsiTheme="minorHAnsi" w:cstheme="minorHAnsi"/>
          <w:sz w:val="22"/>
          <w:szCs w:val="22"/>
        </w:rPr>
      </w:pPr>
      <w:r w:rsidRPr="00456B8A">
        <w:rPr>
          <w:rFonts w:asciiTheme="minorHAnsi" w:hAnsiTheme="minorHAnsi" w:cstheme="minorHAnsi"/>
          <w:sz w:val="22"/>
          <w:szCs w:val="22"/>
          <w:u w:val="single"/>
        </w:rPr>
        <w:t>Big Ideas</w:t>
      </w:r>
    </w:p>
    <w:p w:rsidR="00456B8A" w:rsidRPr="00456B8A" w:rsidRDefault="00456B8A" w:rsidP="00C3753A">
      <w:pPr>
        <w:spacing w:before="100" w:beforeAutospacing="1"/>
        <w:rPr>
          <w:rFonts w:asciiTheme="minorHAnsi" w:hAnsiTheme="minorHAnsi" w:cstheme="minorHAnsi"/>
          <w:sz w:val="22"/>
          <w:szCs w:val="22"/>
        </w:rPr>
      </w:pPr>
      <w:r w:rsidRPr="00456B8A">
        <w:rPr>
          <w:rFonts w:asciiTheme="minorHAnsi" w:hAnsiTheme="minorHAnsi" w:cstheme="minorHAnsi"/>
          <w:sz w:val="22"/>
          <w:szCs w:val="22"/>
        </w:rPr>
        <w:t>We have yet to identify a “big idea” on which OSF and the Bank might work intensively together.  </w:t>
      </w:r>
      <w:r w:rsidR="00C3753A">
        <w:rPr>
          <w:rFonts w:asciiTheme="minorHAnsi" w:hAnsiTheme="minorHAnsi" w:cstheme="minorHAnsi"/>
          <w:sz w:val="22"/>
          <w:szCs w:val="22"/>
        </w:rPr>
        <w:t xml:space="preserve">Burma was one early target, but there appears to be too much distance between the agendas of the two institutions.  Several countries in Africa might also be of interest.  </w:t>
      </w:r>
      <w:r w:rsidRPr="00456B8A">
        <w:rPr>
          <w:rFonts w:asciiTheme="minorHAnsi" w:hAnsiTheme="minorHAnsi" w:cstheme="minorHAnsi"/>
          <w:sz w:val="22"/>
          <w:szCs w:val="22"/>
        </w:rPr>
        <w:t xml:space="preserve">We have a willing partner at the IFC in the person of Eva </w:t>
      </w:r>
      <w:proofErr w:type="spellStart"/>
      <w:r w:rsidRPr="00456B8A">
        <w:rPr>
          <w:rFonts w:asciiTheme="minorHAnsi" w:hAnsiTheme="minorHAnsi" w:cstheme="minorHAnsi"/>
          <w:sz w:val="22"/>
          <w:szCs w:val="22"/>
        </w:rPr>
        <w:t>Bakonyi</w:t>
      </w:r>
      <w:proofErr w:type="spellEnd"/>
      <w:r w:rsidRPr="00456B8A">
        <w:rPr>
          <w:rFonts w:asciiTheme="minorHAnsi" w:hAnsiTheme="minorHAnsi" w:cstheme="minorHAnsi"/>
          <w:sz w:val="22"/>
          <w:szCs w:val="22"/>
        </w:rPr>
        <w:t xml:space="preserve">, the </w:t>
      </w:r>
      <w:r w:rsidR="00C3753A">
        <w:rPr>
          <w:rFonts w:asciiTheme="minorHAnsi" w:hAnsiTheme="minorHAnsi" w:cstheme="minorHAnsi"/>
          <w:sz w:val="22"/>
          <w:szCs w:val="22"/>
        </w:rPr>
        <w:t>former</w:t>
      </w:r>
      <w:r w:rsidRPr="00456B8A">
        <w:rPr>
          <w:rFonts w:asciiTheme="minorHAnsi" w:hAnsiTheme="minorHAnsi" w:cstheme="minorHAnsi"/>
          <w:sz w:val="22"/>
          <w:szCs w:val="22"/>
        </w:rPr>
        <w:t xml:space="preserve"> director of our foundation in Hungary</w:t>
      </w:r>
      <w:r w:rsidR="00872A56">
        <w:rPr>
          <w:rFonts w:asciiTheme="minorHAnsi" w:hAnsiTheme="minorHAnsi" w:cstheme="minorHAnsi"/>
          <w:sz w:val="22"/>
          <w:szCs w:val="22"/>
        </w:rPr>
        <w:t>.</w:t>
      </w:r>
      <w:r w:rsidR="00872A56" w:rsidRPr="00456B8A">
        <w:rPr>
          <w:rFonts w:asciiTheme="minorHAnsi" w:hAnsiTheme="minorHAnsi" w:cstheme="minorHAnsi"/>
          <w:sz w:val="22"/>
          <w:szCs w:val="22"/>
        </w:rPr>
        <w:t xml:space="preserve"> </w:t>
      </w:r>
      <w:r w:rsidRPr="00456B8A">
        <w:rPr>
          <w:rFonts w:asciiTheme="minorHAnsi" w:hAnsiTheme="minorHAnsi" w:cstheme="minorHAnsi"/>
          <w:sz w:val="22"/>
          <w:szCs w:val="22"/>
        </w:rPr>
        <w:t xml:space="preserve">She can be helpful in identifying other potential opportunities, but </w:t>
      </w:r>
      <w:r w:rsidR="00C3753A">
        <w:rPr>
          <w:rFonts w:asciiTheme="minorHAnsi" w:hAnsiTheme="minorHAnsi" w:cstheme="minorHAnsi"/>
          <w:sz w:val="22"/>
          <w:szCs w:val="22"/>
        </w:rPr>
        <w:t>skepticism of the Bank remains high among our foundation colleagues in Africa.</w:t>
      </w:r>
    </w:p>
    <w:sectPr w:rsidR="00456B8A" w:rsidRPr="00456B8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999" w:rsidRDefault="002C1999" w:rsidP="00C45C8F">
      <w:r>
        <w:separator/>
      </w:r>
    </w:p>
  </w:endnote>
  <w:endnote w:type="continuationSeparator" w:id="0">
    <w:p w:rsidR="002C1999" w:rsidRDefault="002C1999" w:rsidP="00C4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965857"/>
      <w:docPartObj>
        <w:docPartGallery w:val="Page Numbers (Bottom of Page)"/>
        <w:docPartUnique/>
      </w:docPartObj>
    </w:sdtPr>
    <w:sdtEndPr>
      <w:rPr>
        <w:noProof/>
      </w:rPr>
    </w:sdtEndPr>
    <w:sdtContent>
      <w:p w:rsidR="00C45C8F" w:rsidRDefault="00C45C8F">
        <w:pPr>
          <w:pStyle w:val="Footer"/>
          <w:jc w:val="center"/>
        </w:pPr>
        <w:r>
          <w:fldChar w:fldCharType="begin"/>
        </w:r>
        <w:r>
          <w:instrText xml:space="preserve"> PAGE   \* MERGEFORMAT </w:instrText>
        </w:r>
        <w:r>
          <w:fldChar w:fldCharType="separate"/>
        </w:r>
        <w:r w:rsidR="00961698">
          <w:rPr>
            <w:noProof/>
          </w:rPr>
          <w:t>3</w:t>
        </w:r>
        <w:r>
          <w:rPr>
            <w:noProof/>
          </w:rPr>
          <w:fldChar w:fldCharType="end"/>
        </w:r>
      </w:p>
    </w:sdtContent>
  </w:sdt>
  <w:p w:rsidR="00C45C8F" w:rsidRDefault="00C45C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999" w:rsidRDefault="002C1999" w:rsidP="00C45C8F">
      <w:r>
        <w:separator/>
      </w:r>
    </w:p>
  </w:footnote>
  <w:footnote w:type="continuationSeparator" w:id="0">
    <w:p w:rsidR="002C1999" w:rsidRDefault="002C1999" w:rsidP="00C45C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61638"/>
    <w:multiLevelType w:val="hybridMultilevel"/>
    <w:tmpl w:val="743E0FC6"/>
    <w:lvl w:ilvl="0" w:tplc="86366D96">
      <w:start w:val="5"/>
      <w:numFmt w:val="bullet"/>
      <w:lvlText w:val="-"/>
      <w:lvlJc w:val="left"/>
      <w:pPr>
        <w:ind w:left="408" w:hanging="360"/>
      </w:pPr>
      <w:rPr>
        <w:rFonts w:ascii="Calibri" w:eastAsia="Calibri" w:hAnsi="Calibri" w:cs="Calibr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start w:val="1"/>
      <w:numFmt w:val="bullet"/>
      <w:lvlText w:val=""/>
      <w:lvlJc w:val="left"/>
      <w:pPr>
        <w:ind w:left="2568" w:hanging="360"/>
      </w:pPr>
      <w:rPr>
        <w:rFonts w:ascii="Symbol" w:hAnsi="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hint="default"/>
      </w:rPr>
    </w:lvl>
    <w:lvl w:ilvl="6" w:tplc="04090001">
      <w:start w:val="1"/>
      <w:numFmt w:val="bullet"/>
      <w:lvlText w:val=""/>
      <w:lvlJc w:val="left"/>
      <w:pPr>
        <w:ind w:left="4728" w:hanging="360"/>
      </w:pPr>
      <w:rPr>
        <w:rFonts w:ascii="Symbol" w:hAnsi="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hint="default"/>
      </w:rPr>
    </w:lvl>
  </w:abstractNum>
  <w:abstractNum w:abstractNumId="1">
    <w:nsid w:val="6E173E53"/>
    <w:multiLevelType w:val="hybridMultilevel"/>
    <w:tmpl w:val="217631D8"/>
    <w:lvl w:ilvl="0" w:tplc="326E03EE">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8A"/>
    <w:rsid w:val="001A146A"/>
    <w:rsid w:val="002C1999"/>
    <w:rsid w:val="004053C4"/>
    <w:rsid w:val="00456B8A"/>
    <w:rsid w:val="00872A56"/>
    <w:rsid w:val="009439A5"/>
    <w:rsid w:val="009447D4"/>
    <w:rsid w:val="00961698"/>
    <w:rsid w:val="00AD35F0"/>
    <w:rsid w:val="00C3753A"/>
    <w:rsid w:val="00C45C8F"/>
    <w:rsid w:val="00E36588"/>
    <w:rsid w:val="00E96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8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8A"/>
    <w:pPr>
      <w:ind w:left="720"/>
    </w:pPr>
  </w:style>
  <w:style w:type="paragraph" w:styleId="Header">
    <w:name w:val="header"/>
    <w:basedOn w:val="Normal"/>
    <w:link w:val="HeaderChar"/>
    <w:uiPriority w:val="99"/>
    <w:unhideWhenUsed/>
    <w:rsid w:val="00C45C8F"/>
    <w:pPr>
      <w:tabs>
        <w:tab w:val="center" w:pos="4680"/>
        <w:tab w:val="right" w:pos="9360"/>
      </w:tabs>
    </w:pPr>
  </w:style>
  <w:style w:type="character" w:customStyle="1" w:styleId="HeaderChar">
    <w:name w:val="Header Char"/>
    <w:basedOn w:val="DefaultParagraphFont"/>
    <w:link w:val="Header"/>
    <w:uiPriority w:val="99"/>
    <w:rsid w:val="00C45C8F"/>
    <w:rPr>
      <w:rFonts w:ascii="Times New Roman" w:hAnsi="Times New Roman" w:cs="Times New Roman"/>
      <w:sz w:val="24"/>
      <w:szCs w:val="24"/>
    </w:rPr>
  </w:style>
  <w:style w:type="paragraph" w:styleId="Footer">
    <w:name w:val="footer"/>
    <w:basedOn w:val="Normal"/>
    <w:link w:val="FooterChar"/>
    <w:uiPriority w:val="99"/>
    <w:unhideWhenUsed/>
    <w:rsid w:val="00C45C8F"/>
    <w:pPr>
      <w:tabs>
        <w:tab w:val="center" w:pos="4680"/>
        <w:tab w:val="right" w:pos="9360"/>
      </w:tabs>
    </w:pPr>
  </w:style>
  <w:style w:type="character" w:customStyle="1" w:styleId="FooterChar">
    <w:name w:val="Footer Char"/>
    <w:basedOn w:val="DefaultParagraphFont"/>
    <w:link w:val="Footer"/>
    <w:uiPriority w:val="99"/>
    <w:rsid w:val="00C45C8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D35F0"/>
    <w:rPr>
      <w:rFonts w:ascii="Tahoma" w:hAnsi="Tahoma" w:cs="Tahoma"/>
      <w:sz w:val="16"/>
      <w:szCs w:val="16"/>
    </w:rPr>
  </w:style>
  <w:style w:type="character" w:customStyle="1" w:styleId="BalloonTextChar">
    <w:name w:val="Balloon Text Char"/>
    <w:basedOn w:val="DefaultParagraphFont"/>
    <w:link w:val="BalloonText"/>
    <w:uiPriority w:val="99"/>
    <w:semiHidden/>
    <w:rsid w:val="00AD35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2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Rolett</dc:creator>
  <cp:lastModifiedBy>Jonas Rolett</cp:lastModifiedBy>
  <cp:revision>2</cp:revision>
  <cp:lastPrinted>2013-06-12T15:25:00Z</cp:lastPrinted>
  <dcterms:created xsi:type="dcterms:W3CDTF">2013-07-09T15:31:00Z</dcterms:created>
  <dcterms:modified xsi:type="dcterms:W3CDTF">2013-07-09T15:31:00Z</dcterms:modified>
</cp:coreProperties>
</file>